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b/>
          <w:sz w:val="30"/>
          <w:szCs w:val="30"/>
        </w:rPr>
      </w:pPr>
    </w:p>
    <w:p>
      <w:pPr>
        <w:spacing w:line="400" w:lineRule="exact"/>
        <w:jc w:val="left"/>
        <w:rPr>
          <w:rFonts w:hint="eastAsia" w:ascii="黑体" w:hAnsi="黑体" w:eastAsia="黑体"/>
          <w:b/>
          <w:sz w:val="28"/>
          <w:szCs w:val="28"/>
        </w:rPr>
      </w:pPr>
      <w:r>
        <w:rPr>
          <w:rFonts w:hint="eastAsia" w:ascii="黑体" w:hAnsi="黑体" w:eastAsia="黑体"/>
          <w:b/>
          <w:sz w:val="28"/>
          <w:szCs w:val="28"/>
        </w:rPr>
        <w:t>附件2：</w:t>
      </w:r>
      <w:r>
        <w:rPr>
          <w:rFonts w:ascii="黑体" w:hAnsi="黑体" w:eastAsia="黑体"/>
          <w:b/>
          <w:sz w:val="28"/>
          <w:szCs w:val="28"/>
        </w:rPr>
        <w:t xml:space="preserve"> </w:t>
      </w:r>
      <w:r>
        <w:rPr>
          <w:rFonts w:hint="eastAsia" w:ascii="黑体" w:hAnsi="黑体" w:eastAsia="黑体"/>
          <w:b/>
          <w:sz w:val="28"/>
          <w:szCs w:val="28"/>
        </w:rPr>
        <w:t>中南林业科技大学</w:t>
      </w:r>
      <w:r>
        <w:rPr>
          <w:rFonts w:ascii="黑体" w:hAnsi="黑体" w:eastAsia="黑体"/>
          <w:b/>
          <w:sz w:val="28"/>
          <w:szCs w:val="28"/>
        </w:rPr>
        <w:t>2022</w:t>
      </w:r>
      <w:r>
        <w:rPr>
          <w:rFonts w:hint="eastAsia" w:ascii="黑体" w:hAnsi="黑体" w:eastAsia="黑体"/>
          <w:b/>
          <w:sz w:val="28"/>
          <w:szCs w:val="28"/>
        </w:rPr>
        <w:t>级本科新生各专业学费缴费标准</w:t>
      </w:r>
    </w:p>
    <w:p>
      <w:pPr>
        <w:spacing w:line="400" w:lineRule="exact"/>
        <w:jc w:val="left"/>
        <w:rPr>
          <w:rFonts w:hint="eastAsia" w:ascii="仿宋_GB2312" w:eastAsia="仿宋_GB2312"/>
          <w:sz w:val="28"/>
          <w:szCs w:val="28"/>
        </w:rPr>
      </w:pPr>
    </w:p>
    <w:tbl>
      <w:tblPr>
        <w:tblStyle w:val="2"/>
        <w:tblW w:w="8957" w:type="dxa"/>
        <w:jc w:val="center"/>
        <w:tblLayout w:type="autofit"/>
        <w:tblCellMar>
          <w:top w:w="0" w:type="dxa"/>
          <w:left w:w="108" w:type="dxa"/>
          <w:bottom w:w="0" w:type="dxa"/>
          <w:right w:w="108" w:type="dxa"/>
        </w:tblCellMar>
      </w:tblPr>
      <w:tblGrid>
        <w:gridCol w:w="2020"/>
        <w:gridCol w:w="3858"/>
        <w:gridCol w:w="1080"/>
        <w:gridCol w:w="999"/>
        <w:gridCol w:w="1000"/>
      </w:tblGrid>
      <w:tr>
        <w:tblPrEx>
          <w:tblCellMar>
            <w:top w:w="0" w:type="dxa"/>
            <w:left w:w="108" w:type="dxa"/>
            <w:bottom w:w="0" w:type="dxa"/>
            <w:right w:w="108" w:type="dxa"/>
          </w:tblCellMar>
        </w:tblPrEx>
        <w:trPr>
          <w:trHeight w:val="222"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学院名称</w:t>
            </w:r>
          </w:p>
        </w:tc>
        <w:tc>
          <w:tcPr>
            <w:tcW w:w="38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专业名称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cs="宋体"/>
                <w:b/>
                <w:bCs/>
                <w:kern w:val="0"/>
                <w:sz w:val="18"/>
                <w:szCs w:val="18"/>
              </w:rPr>
            </w:pPr>
            <w:r>
              <w:rPr>
                <w:rFonts w:hint="eastAsia" w:ascii="宋体" w:hAnsi="宋体" w:cs="宋体"/>
                <w:b/>
                <w:bCs/>
                <w:kern w:val="0"/>
                <w:sz w:val="18"/>
                <w:szCs w:val="18"/>
              </w:rPr>
              <w:t>学费总额</w:t>
            </w:r>
          </w:p>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（元</w:t>
            </w:r>
            <w:r>
              <w:rPr>
                <w:rFonts w:ascii="宋体" w:hAnsi="宋体" w:cs="宋体"/>
                <w:b/>
                <w:bCs/>
                <w:kern w:val="0"/>
                <w:sz w:val="18"/>
                <w:szCs w:val="18"/>
              </w:rPr>
              <w:t>/</w:t>
            </w:r>
            <w:r>
              <w:rPr>
                <w:rFonts w:hint="eastAsia" w:ascii="宋体" w:hAnsi="宋体" w:cs="宋体"/>
                <w:b/>
                <w:bCs/>
                <w:kern w:val="0"/>
                <w:sz w:val="18"/>
                <w:szCs w:val="18"/>
              </w:rPr>
              <w:t>年）</w:t>
            </w:r>
          </w:p>
        </w:tc>
        <w:tc>
          <w:tcPr>
            <w:tcW w:w="199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备  注</w:t>
            </w:r>
          </w:p>
        </w:tc>
      </w:tr>
      <w:tr>
        <w:tblPrEx>
          <w:tblCellMar>
            <w:top w:w="0" w:type="dxa"/>
            <w:left w:w="108" w:type="dxa"/>
            <w:bottom w:w="0" w:type="dxa"/>
            <w:right w:w="108" w:type="dxa"/>
          </w:tblCellMar>
        </w:tblPrEx>
        <w:trPr>
          <w:trHeight w:val="268"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b/>
                <w:bCs/>
                <w:kern w:val="0"/>
                <w:sz w:val="18"/>
                <w:szCs w:val="18"/>
              </w:rPr>
            </w:pPr>
          </w:p>
        </w:tc>
        <w:tc>
          <w:tcPr>
            <w:tcW w:w="38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b/>
                <w:bCs/>
                <w:kern w:val="0"/>
                <w:sz w:val="18"/>
                <w:szCs w:val="18"/>
              </w:rPr>
            </w:pP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专业学费</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b/>
                <w:bCs/>
                <w:kern w:val="0"/>
                <w:sz w:val="18"/>
                <w:szCs w:val="18"/>
              </w:rPr>
            </w:pPr>
            <w:r>
              <w:rPr>
                <w:rFonts w:hint="eastAsia" w:ascii="宋体" w:hAnsi="宋体" w:cs="宋体"/>
                <w:b/>
                <w:bCs/>
                <w:kern w:val="0"/>
                <w:sz w:val="18"/>
                <w:szCs w:val="18"/>
              </w:rPr>
              <w:t>学分学费</w:t>
            </w:r>
          </w:p>
        </w:tc>
      </w:tr>
      <w:tr>
        <w:tblPrEx>
          <w:tblCellMar>
            <w:top w:w="0" w:type="dxa"/>
            <w:left w:w="108" w:type="dxa"/>
            <w:bottom w:w="0" w:type="dxa"/>
            <w:right w:w="108" w:type="dxa"/>
          </w:tblCellMar>
        </w:tblPrEx>
        <w:trPr>
          <w:trHeight w:val="499" w:hRule="atLeast"/>
          <w:jc w:val="center"/>
        </w:trPr>
        <w:tc>
          <w:tcPr>
            <w:tcW w:w="202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林学院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林学类（林学、森林保护、经济林）、园艺、水土保持与荒漠化防治</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3600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800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41"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土地资源管理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145" w:hRule="atLeast"/>
          <w:jc w:val="center"/>
        </w:trPr>
        <w:tc>
          <w:tcPr>
            <w:tcW w:w="202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生命科学与技术学院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生物科学类（生物技术、生态学、生物科学）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4500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1700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149"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生物工程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材料科学与工程学院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材料类（材料科学与工程、材料化学、高分子材料与工程）、化学工程与工艺、森林工程、木材科学与工程、林产化工</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754"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机电工程学院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机械类（机械设计制造及其自动化、材料成型及控制工程、车辆工程）、能源动力类（能源与动力工程、新能源科学与工程）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83"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物流与交通学院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物流管理、物流工程、供应链管理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159" w:hRule="atLeast"/>
          <w:jc w:val="center"/>
        </w:trPr>
        <w:tc>
          <w:tcPr>
            <w:tcW w:w="202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风景园林学院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建筑类（建筑学、城乡规划）（学制5年）、风景园林</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19"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园林</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3600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800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95" w:hRule="atLeast"/>
          <w:jc w:val="center"/>
        </w:trPr>
        <w:tc>
          <w:tcPr>
            <w:tcW w:w="202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家具与艺术设计学院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工业设计、家具设计与工程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99"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视觉传达设计、环境设计、产品设计</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8000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9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计算机与信息工程学院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电子信息类（电子信息工程、通信工程）、计算机类（计算机科学与技术、软件工程）、自动化、人工智能</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9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土木工程学院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土木类（土木工程、城市地下空间工程、建筑环境与能源应用工程）、工程力学、测绘工程、工程管理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9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食品科学与工程学院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食品科学与工程类（食品科学与工程、食品质量与安全、粮食工程）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91"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环境科学与工程学院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环境科学与工程类（环境工程、环境科学、环境生态工程）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95"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理学院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信息与计算科学、应用物理学、地理信息科学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4500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1700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9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商学院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工商管理类（市场营销、国际商务、人力资源管理、农林经济管理）、会计学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63"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经济学院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金融学类（国际经济与贸易、金融学、保险学）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49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外国语学院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外国语言文学类（英语、翻译）、俄语、法语、日语、朝鲜语</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4500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1700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5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旅游学院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旅游管理类（旅游管理、酒店管理、会展经济与管理）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14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政法学院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法学、行政管理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09"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音乐学院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音乐表演、舞蹈学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8000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5200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157" w:hRule="atLeast"/>
          <w:jc w:val="center"/>
        </w:trPr>
        <w:tc>
          <w:tcPr>
            <w:tcW w:w="2020"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体育学院</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社会体育指导与管理</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5900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3100</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2800</w:t>
            </w:r>
          </w:p>
        </w:tc>
      </w:tr>
      <w:tr>
        <w:tblPrEx>
          <w:tblCellMar>
            <w:top w:w="0" w:type="dxa"/>
            <w:left w:w="108" w:type="dxa"/>
            <w:bottom w:w="0" w:type="dxa"/>
            <w:right w:w="108" w:type="dxa"/>
          </w:tblCellMar>
        </w:tblPrEx>
        <w:trPr>
          <w:trHeight w:val="203" w:hRule="atLeast"/>
          <w:jc w:val="center"/>
        </w:trPr>
        <w:tc>
          <w:tcPr>
            <w:tcW w:w="202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班戈学院(中外合作办学机构)</w:t>
            </w: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金融学、会计学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38000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r>
      <w:tr>
        <w:tblPrEx>
          <w:tblCellMar>
            <w:top w:w="0" w:type="dxa"/>
            <w:left w:w="108" w:type="dxa"/>
            <w:bottom w:w="0" w:type="dxa"/>
            <w:right w:w="108" w:type="dxa"/>
          </w:tblCellMar>
        </w:tblPrEx>
        <w:trPr>
          <w:trHeight w:val="121"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电子信息工程</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39000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r>
      <w:tr>
        <w:tblPrEx>
          <w:tblCellMar>
            <w:top w:w="0" w:type="dxa"/>
            <w:left w:w="108" w:type="dxa"/>
            <w:bottom w:w="0" w:type="dxa"/>
            <w:right w:w="108" w:type="dxa"/>
          </w:tblCellMar>
        </w:tblPrEx>
        <w:trPr>
          <w:trHeight w:val="167" w:hRule="atLeast"/>
          <w:jc w:val="center"/>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left"/>
              <w:rPr>
                <w:rFonts w:ascii="宋体" w:hAnsi="宋体" w:cs="宋体"/>
                <w:kern w:val="0"/>
                <w:sz w:val="18"/>
                <w:szCs w:val="18"/>
              </w:rPr>
            </w:pPr>
          </w:p>
        </w:tc>
        <w:tc>
          <w:tcPr>
            <w:tcW w:w="3858"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rPr>
                <w:rFonts w:ascii="宋体" w:hAnsi="宋体" w:cs="宋体"/>
                <w:kern w:val="0"/>
                <w:sz w:val="18"/>
                <w:szCs w:val="18"/>
              </w:rPr>
            </w:pPr>
            <w:r>
              <w:rPr>
                <w:rFonts w:hint="eastAsia" w:ascii="宋体" w:hAnsi="宋体" w:cs="宋体"/>
                <w:kern w:val="0"/>
                <w:sz w:val="18"/>
                <w:szCs w:val="18"/>
              </w:rPr>
              <w:t>林学</w:t>
            </w:r>
          </w:p>
        </w:tc>
        <w:tc>
          <w:tcPr>
            <w:tcW w:w="108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37000</w:t>
            </w:r>
          </w:p>
        </w:tc>
        <w:tc>
          <w:tcPr>
            <w:tcW w:w="999"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c>
          <w:tcPr>
            <w:tcW w:w="1000" w:type="dxa"/>
            <w:tcBorders>
              <w:top w:val="nil"/>
              <w:left w:val="nil"/>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待定</w:t>
            </w:r>
          </w:p>
        </w:tc>
      </w:tr>
    </w:tbl>
    <w:p>
      <w:pPr>
        <w:autoSpaceDE w:val="0"/>
        <w:adjustRightInd w:val="0"/>
        <w:snapToGrid w:val="0"/>
        <w:rPr>
          <w:rFonts w:hint="eastAsia" w:ascii="宋体" w:hAnsi="宋体" w:cs="宋体"/>
          <w:b/>
          <w:kern w:val="0"/>
          <w:sz w:val="18"/>
          <w:szCs w:val="18"/>
        </w:rPr>
      </w:pPr>
    </w:p>
    <w:p>
      <w:pPr>
        <w:rPr>
          <w:rFonts w:hint="eastAsia" w:ascii="宋体" w:hAnsi="宋体" w:cs="宋体"/>
          <w:b/>
          <w:kern w:val="0"/>
          <w:sz w:val="18"/>
          <w:szCs w:val="18"/>
        </w:rPr>
      </w:pPr>
      <w:r>
        <w:rPr>
          <w:rFonts w:hint="eastAsia" w:ascii="宋体" w:hAnsi="宋体" w:cs="宋体"/>
          <w:b/>
          <w:kern w:val="0"/>
          <w:sz w:val="18"/>
          <w:szCs w:val="18"/>
        </w:rPr>
        <w:t>说明：</w:t>
      </w:r>
    </w:p>
    <w:p>
      <w:pPr>
        <w:ind w:firstLine="360" w:firstLineChars="200"/>
        <w:rPr>
          <w:rFonts w:hint="eastAsia" w:ascii="宋体" w:hAnsi="宋体" w:cs="宋体"/>
          <w:kern w:val="0"/>
          <w:sz w:val="18"/>
          <w:szCs w:val="18"/>
        </w:rPr>
      </w:pPr>
      <w:r>
        <w:rPr>
          <w:rFonts w:ascii="宋体" w:hAnsi="宋体" w:cs="宋体"/>
          <w:kern w:val="0"/>
          <w:sz w:val="18"/>
          <w:szCs w:val="18"/>
        </w:rPr>
        <w:t>1.学校</w:t>
      </w:r>
      <w:r>
        <w:rPr>
          <w:rFonts w:hint="eastAsia" w:ascii="宋体" w:hAnsi="宋体" w:cs="宋体"/>
          <w:kern w:val="0"/>
          <w:sz w:val="18"/>
          <w:szCs w:val="18"/>
        </w:rPr>
        <w:t>实行学分制收费和学年制收费相结合，学费总额为学分学费和专业学费之和。学分学费每学年按</w:t>
      </w:r>
      <w:r>
        <w:rPr>
          <w:rFonts w:ascii="宋体" w:hAnsi="宋体" w:cs="宋体"/>
          <w:kern w:val="0"/>
          <w:sz w:val="18"/>
          <w:szCs w:val="18"/>
        </w:rPr>
        <w:t>40</w:t>
      </w:r>
      <w:r>
        <w:rPr>
          <w:rFonts w:hint="eastAsia" w:ascii="宋体" w:hAnsi="宋体" w:cs="宋体"/>
          <w:kern w:val="0"/>
          <w:sz w:val="18"/>
          <w:szCs w:val="18"/>
        </w:rPr>
        <w:t>个学分预收，毕业时按规定结算，多退少补；专业学费每年按学年标准收取。班戈学院学分学费与专业学费标准待省文件下达后由学校按文件规定确定。</w:t>
      </w:r>
    </w:p>
    <w:p>
      <w:pPr>
        <w:ind w:firstLine="360" w:firstLineChars="200"/>
        <w:rPr>
          <w:rFonts w:hint="eastAsia" w:ascii="宋体" w:hAnsi="宋体" w:cs="宋体"/>
          <w:b/>
          <w:kern w:val="0"/>
          <w:sz w:val="18"/>
          <w:szCs w:val="18"/>
        </w:rPr>
      </w:pPr>
      <w:r>
        <w:rPr>
          <w:rFonts w:hint="eastAsia" w:ascii="宋体" w:hAnsi="宋体" w:cs="宋体"/>
          <w:vanish/>
          <w:kern w:val="0"/>
          <w:sz w:val="18"/>
          <w:szCs w:val="18"/>
        </w:rPr>
        <w:cr/>
      </w:r>
      <w:r>
        <w:rPr>
          <w:rFonts w:hint="eastAsia" w:ascii="宋体" w:hAnsi="宋体" w:cs="宋体"/>
          <w:vanish/>
          <w:kern w:val="0"/>
          <w:sz w:val="18"/>
          <w:szCs w:val="18"/>
        </w:rPr>
        <w:t xml:space="preserve">2021]646           </w:t>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hint="eastAsia" w:ascii="宋体" w:hAnsi="宋体" w:cs="宋体"/>
          <w:vanish/>
          <w:kern w:val="0"/>
          <w:sz w:val="18"/>
          <w:szCs w:val="18"/>
        </w:rPr>
        <w:pgNum/>
      </w:r>
      <w:r>
        <w:rPr>
          <w:rFonts w:ascii="宋体" w:hAnsi="宋体" w:cs="宋体"/>
          <w:kern w:val="0"/>
          <w:sz w:val="18"/>
          <w:szCs w:val="18"/>
        </w:rPr>
        <w:t>2.</w:t>
      </w:r>
      <w:r>
        <w:rPr>
          <w:rFonts w:hint="eastAsia" w:ascii="宋体" w:hAnsi="宋体" w:cs="宋体"/>
          <w:kern w:val="0"/>
          <w:sz w:val="18"/>
          <w:szCs w:val="18"/>
        </w:rPr>
        <w:t>上述各专业学费标准暂按湘发改价费规</w:t>
      </w:r>
      <w:r>
        <w:rPr>
          <w:rFonts w:ascii="宋体" w:hAnsi="宋体" w:cs="宋体"/>
          <w:kern w:val="0"/>
          <w:sz w:val="18"/>
          <w:szCs w:val="18"/>
        </w:rPr>
        <w:t>[2021]646</w:t>
      </w:r>
      <w:r>
        <w:rPr>
          <w:rFonts w:hint="eastAsia" w:ascii="宋体" w:hAnsi="宋体" w:cs="宋体"/>
          <w:kern w:val="0"/>
          <w:sz w:val="18"/>
          <w:szCs w:val="18"/>
        </w:rPr>
        <w:t>号文件执行，如有变动，按新文件执行。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YjJhOTAzODUxZWVhMmVhZWMxMmMxYmUyODUzNDkifQ=="/>
  </w:docVars>
  <w:rsids>
    <w:rsidRoot w:val="00000000"/>
    <w:rsid w:val="001A6B86"/>
    <w:rsid w:val="61B0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941</Words>
  <Characters>1169</Characters>
  <Lines>0</Lines>
  <Paragraphs>0</Paragraphs>
  <TotalTime>1</TotalTime>
  <ScaleCrop>false</ScaleCrop>
  <LinksUpToDate>false</LinksUpToDate>
  <CharactersWithSpaces>1171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2022-08-13T05:47:00Z</dcterms:created>
  <dc:creator>DELL</dc:creator>
  <cp:lastModifiedBy>贺平峰</cp:lastModifiedBy>
  <dcterms:modified xsi:type="dcterms:W3CDTF">2022-08-13T06:00:43Z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ADB7804B8AA941E8858C70D8CC191D7C</vt:lpwstr>
  </property>
</Properties>
</file>